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7672" w14:textId="53510BA0" w:rsidR="00B1187A" w:rsidRDefault="00B1187A" w:rsidP="00B1187A">
      <w:pPr>
        <w:pStyle w:val="Heading1"/>
      </w:pPr>
      <w:r>
        <w:t>1</w:t>
      </w:r>
      <w:r>
        <w:t>400.180</w:t>
      </w:r>
      <w:r>
        <w:tab/>
        <w:t xml:space="preserve">TRANSFER CREDIT </w:t>
      </w:r>
      <w:r>
        <w:t>PROCEDURE</w:t>
      </w:r>
    </w:p>
    <w:p w14:paraId="5CEE87DB" w14:textId="2B862223" w:rsidR="00D863E8" w:rsidRDefault="00D863E8" w:rsidP="00D863E8">
      <w:pPr>
        <w:pStyle w:val="Heading2"/>
      </w:pPr>
      <w:r>
        <w:t>A.</w:t>
      </w:r>
      <w:r>
        <w:tab/>
        <w:t>EVALUATION</w:t>
      </w:r>
    </w:p>
    <w:p w14:paraId="472A2005" w14:textId="7E429F84" w:rsidR="00B52583" w:rsidRDefault="00B52583" w:rsidP="00B52583">
      <w:pPr>
        <w:pStyle w:val="BodyText"/>
        <w:rPr>
          <w:rFonts w:eastAsia="Lato"/>
        </w:rPr>
      </w:pPr>
      <w:r w:rsidRPr="1F2499AF">
        <w:rPr>
          <w:rFonts w:eastAsia="Lato"/>
        </w:rPr>
        <w:t>Students may request an evaluation of their transfer credits at any time to determine progress toward a degree or certificate.</w:t>
      </w:r>
    </w:p>
    <w:p w14:paraId="361B287F" w14:textId="060EFCB2" w:rsidR="00B52583" w:rsidRDefault="00B52583" w:rsidP="00B52583">
      <w:pPr>
        <w:pStyle w:val="BodyText"/>
        <w:rPr>
          <w:rFonts w:eastAsia="Lato"/>
        </w:rPr>
      </w:pPr>
      <w:r w:rsidRPr="1F2499AF">
        <w:rPr>
          <w:rFonts w:eastAsia="Lato"/>
        </w:rPr>
        <w:t>Official transcripts from all previously attended colleges or universities must be sent directly to W</w:t>
      </w:r>
      <w:r>
        <w:rPr>
          <w:rFonts w:eastAsia="Lato"/>
        </w:rPr>
        <w:t>enatchee Valley College (W</w:t>
      </w:r>
      <w:r w:rsidRPr="1F2499AF">
        <w:rPr>
          <w:rFonts w:eastAsia="Lato"/>
        </w:rPr>
        <w:t>VC</w:t>
      </w:r>
      <w:r>
        <w:rPr>
          <w:rFonts w:eastAsia="Lato"/>
        </w:rPr>
        <w:t>)</w:t>
      </w:r>
      <w:r w:rsidRPr="1F2499AF">
        <w:rPr>
          <w:rFonts w:eastAsia="Lato"/>
        </w:rPr>
        <w:t xml:space="preserve"> before requesting an </w:t>
      </w:r>
      <w:r w:rsidRPr="1F2499AF">
        <w:rPr>
          <w:rFonts w:eastAsia="Lato"/>
          <w:i/>
          <w:iCs/>
        </w:rPr>
        <w:t>Official Transfer Credit Evaluation</w:t>
      </w:r>
      <w:r w:rsidRPr="1F2499AF">
        <w:rPr>
          <w:rFonts w:eastAsia="Lato"/>
        </w:rPr>
        <w:t>. Unofficial transcripts may be used for advising only. Students with College in the High School (</w:t>
      </w:r>
      <w:proofErr w:type="spellStart"/>
      <w:r w:rsidRPr="1F2499AF">
        <w:rPr>
          <w:rFonts w:eastAsia="Lato"/>
        </w:rPr>
        <w:t>CiHS</w:t>
      </w:r>
      <w:proofErr w:type="spellEnd"/>
      <w:r w:rsidRPr="1F2499AF">
        <w:rPr>
          <w:rFonts w:eastAsia="Lato"/>
        </w:rPr>
        <w:t xml:space="preserve">), CTE Dual Credit, or other high school dual credit </w:t>
      </w:r>
      <w:r w:rsidRPr="00B52583">
        <w:rPr>
          <w:rFonts w:eastAsia="Lato"/>
          <w:b/>
          <w:bCs/>
        </w:rPr>
        <w:t xml:space="preserve">do </w:t>
      </w:r>
      <w:r w:rsidRPr="1F2499AF">
        <w:rPr>
          <w:rFonts w:eastAsia="Lato"/>
          <w:b/>
          <w:bCs/>
        </w:rPr>
        <w:t>not</w:t>
      </w:r>
      <w:r w:rsidRPr="1F2499AF">
        <w:rPr>
          <w:rFonts w:eastAsia="Lato"/>
        </w:rPr>
        <w:t xml:space="preserve"> need to submit an evaluation form.</w:t>
      </w:r>
    </w:p>
    <w:p w14:paraId="4AED7152" w14:textId="14020B2B" w:rsidR="00B52583" w:rsidRDefault="00B52583" w:rsidP="00B52583">
      <w:pPr>
        <w:pStyle w:val="BodyText"/>
        <w:rPr>
          <w:rFonts w:eastAsia="Lato"/>
        </w:rPr>
      </w:pPr>
      <w:r w:rsidRPr="1F2499AF">
        <w:rPr>
          <w:rFonts w:eastAsia="Lato"/>
        </w:rPr>
        <w:t xml:space="preserve">Credits from WVC are reviewed first, followed by transfer credits from other regionally accredited and then any non-traditional (non-graded) credits. Only college-level courses for which credit has been granted with a grade of D (1.0 </w:t>
      </w:r>
      <w:r>
        <w:rPr>
          <w:rFonts w:eastAsia="Lato"/>
        </w:rPr>
        <w:t>g</w:t>
      </w:r>
      <w:r w:rsidRPr="1F2499AF">
        <w:rPr>
          <w:rFonts w:eastAsia="Lato"/>
        </w:rPr>
        <w:t xml:space="preserve">rade </w:t>
      </w:r>
      <w:r>
        <w:rPr>
          <w:rFonts w:eastAsia="Lato"/>
        </w:rPr>
        <w:t>p</w:t>
      </w:r>
      <w:r w:rsidRPr="1F2499AF">
        <w:rPr>
          <w:rFonts w:eastAsia="Lato"/>
        </w:rPr>
        <w:t xml:space="preserve">oint) or higher by the sending institution will be considered. Washington Community and Technical Colleges </w:t>
      </w:r>
      <w:r>
        <w:rPr>
          <w:rFonts w:eastAsia="Lato"/>
        </w:rPr>
        <w:t xml:space="preserve">(CTC) </w:t>
      </w:r>
      <w:r w:rsidRPr="1F2499AF">
        <w:rPr>
          <w:rFonts w:eastAsia="Lato"/>
        </w:rPr>
        <w:t xml:space="preserve">offer </w:t>
      </w:r>
      <w:r w:rsidRPr="1F2499AF">
        <w:rPr>
          <w:rFonts w:eastAsia="Lato"/>
          <w:i/>
          <w:iCs/>
        </w:rPr>
        <w:t>reciprocity</w:t>
      </w:r>
      <w:r w:rsidRPr="1F2499AF">
        <w:rPr>
          <w:rFonts w:eastAsia="Lato"/>
        </w:rPr>
        <w:t xml:space="preserve"> for students transferring within the CTC system. Students who have fulfilled entire areas of their degree requirements at one college (for example, Quantitative Skills, Communications Skills or Distribution Area requirements) will generally be considered to have met those same requirements at Wenatchee Valley College. To request an official evaluation, students complete the appropriate evaluation request form and submit it to the </w:t>
      </w:r>
      <w:r w:rsidRPr="1F2499AF">
        <w:rPr>
          <w:rFonts w:eastAsia="Lato"/>
        </w:rPr>
        <w:t>admissions/registration off</w:t>
      </w:r>
      <w:r w:rsidRPr="1F2499AF">
        <w:rPr>
          <w:rFonts w:eastAsia="Lato"/>
        </w:rPr>
        <w:t>ice. Evaluations are processed once enrollment and all official transcripts are received. Processing may take up to six weeks during peak times. Completed evaluations are emailed to the student and their faculty advisor.</w:t>
      </w:r>
    </w:p>
    <w:p w14:paraId="122120D2" w14:textId="01C38C38" w:rsidR="00B52583" w:rsidRDefault="00B52583" w:rsidP="00B52583">
      <w:pPr>
        <w:pStyle w:val="BodyText"/>
        <w:rPr>
          <w:rFonts w:eastAsia="Lato"/>
        </w:rPr>
      </w:pPr>
      <w:r w:rsidRPr="1F2499AF">
        <w:rPr>
          <w:rFonts w:eastAsia="Lato"/>
        </w:rPr>
        <w:t xml:space="preserve">Students may view their progress anytime by running an Academic Advisement Report in ctcLink. Questions can be directed to </w:t>
      </w:r>
      <w:hyperlink r:id="rId11">
        <w:r w:rsidRPr="00B52583">
          <w:rPr>
            <w:rStyle w:val="Hyperlink"/>
            <w:rFonts w:eastAsia="Lato" w:cs="Arial"/>
          </w:rPr>
          <w:t>TranscriptEvals@wvc.edu</w:t>
        </w:r>
      </w:hyperlink>
      <w:r w:rsidRPr="1F2499AF">
        <w:rPr>
          <w:rFonts w:eastAsia="Lato"/>
        </w:rPr>
        <w:t xml:space="preserve"> or the </w:t>
      </w:r>
      <w:r w:rsidRPr="1F2499AF">
        <w:rPr>
          <w:rFonts w:eastAsia="Lato"/>
        </w:rPr>
        <w:t>admissions/registration office.</w:t>
      </w:r>
    </w:p>
    <w:p w14:paraId="1BF4DD73" w14:textId="614D49FA" w:rsidR="00B52583" w:rsidRDefault="00B52583" w:rsidP="00B52583">
      <w:pPr>
        <w:pStyle w:val="BodyText"/>
        <w:rPr>
          <w:rFonts w:eastAsia="Lato"/>
        </w:rPr>
      </w:pPr>
      <w:r w:rsidRPr="1F2499AF">
        <w:rPr>
          <w:rFonts w:eastAsia="Lato"/>
        </w:rPr>
        <w:t xml:space="preserve">Certain departments such as the </w:t>
      </w:r>
      <w:proofErr w:type="gramStart"/>
      <w:r w:rsidRPr="1F2499AF">
        <w:rPr>
          <w:rFonts w:eastAsia="Lato"/>
        </w:rPr>
        <w:t>first year</w:t>
      </w:r>
      <w:proofErr w:type="gramEnd"/>
      <w:r w:rsidRPr="1F2499AF">
        <w:rPr>
          <w:rFonts w:eastAsia="Lato"/>
        </w:rPr>
        <w:t xml:space="preserve"> experience </w:t>
      </w:r>
      <w:r w:rsidRPr="1F2499AF">
        <w:rPr>
          <w:rFonts w:eastAsia="Lato"/>
        </w:rPr>
        <w:t>department, among others, can review unofficial transcripts for advising purposes. However, the Official Transcript Credit Evaluation process requires official transcript(s) to be sent to the college directly from schools.</w:t>
      </w:r>
    </w:p>
    <w:p w14:paraId="079DDBF7" w14:textId="0E7EC75B" w:rsidR="00B52583" w:rsidRDefault="00B52583" w:rsidP="00B52583">
      <w:pPr>
        <w:pStyle w:val="BodyText"/>
        <w:rPr>
          <w:rFonts w:eastAsia="Lato"/>
        </w:rPr>
      </w:pPr>
      <w:r w:rsidRPr="1F2499AF">
        <w:rPr>
          <w:rFonts w:eastAsia="Lato"/>
        </w:rPr>
        <w:t>Currently enrolled students may earn college credit when they demonstrate by examination or evaluation that their professional experience or substantial prior learning meets the specific outcomes of a WVC course. For more information on Academic Credit Prior Learning, see policy and procedure 300</w:t>
      </w:r>
      <w:r>
        <w:rPr>
          <w:rFonts w:eastAsia="Lato"/>
        </w:rPr>
        <w:t>.</w:t>
      </w:r>
      <w:r w:rsidRPr="1F2499AF">
        <w:rPr>
          <w:rFonts w:eastAsia="Lato"/>
        </w:rPr>
        <w:t>3</w:t>
      </w:r>
      <w:r w:rsidR="00D863E8">
        <w:rPr>
          <w:rFonts w:eastAsia="Lato"/>
        </w:rPr>
        <w:t>85</w:t>
      </w:r>
      <w:r>
        <w:rPr>
          <w:rFonts w:eastAsia="Lato"/>
        </w:rPr>
        <w:t xml:space="preserve"> and 1300.3</w:t>
      </w:r>
      <w:r w:rsidR="00D863E8">
        <w:rPr>
          <w:rFonts w:eastAsia="Lato"/>
        </w:rPr>
        <w:t>85</w:t>
      </w:r>
      <w:r>
        <w:rPr>
          <w:rFonts w:eastAsia="Lato"/>
        </w:rPr>
        <w:t>, respectively</w:t>
      </w:r>
      <w:r w:rsidRPr="1F2499AF">
        <w:rPr>
          <w:rFonts w:eastAsia="Lato"/>
        </w:rPr>
        <w:t>.</w:t>
      </w:r>
    </w:p>
    <w:p w14:paraId="47F110CC" w14:textId="314AE7C9" w:rsidR="00B52583" w:rsidRPr="00B52583" w:rsidRDefault="00D863E8" w:rsidP="00B52583">
      <w:pPr>
        <w:pStyle w:val="Heading2"/>
      </w:pPr>
      <w:r>
        <w:t>B</w:t>
      </w:r>
      <w:r w:rsidR="00B52583" w:rsidRPr="00B52583">
        <w:t>.</w:t>
      </w:r>
      <w:r w:rsidR="00B52583" w:rsidRPr="00B52583">
        <w:tab/>
      </w:r>
      <w:r w:rsidR="00B52583">
        <w:t>APPEALS PROCESS</w:t>
      </w:r>
    </w:p>
    <w:p w14:paraId="061E3762" w14:textId="77777777" w:rsidR="00B52583" w:rsidRPr="00BF0C99" w:rsidRDefault="00B52583" w:rsidP="00B52583">
      <w:pPr>
        <w:pStyle w:val="BodyText025"/>
        <w:rPr>
          <w:rFonts w:eastAsia="Lato"/>
        </w:rPr>
      </w:pPr>
      <w:r w:rsidRPr="1F2499AF">
        <w:rPr>
          <w:rFonts w:eastAsia="Lato"/>
        </w:rPr>
        <w:t>If a student disagrees with the outcome of a credential evaluation, they have the right to appeal the decision through the following steps:</w:t>
      </w:r>
    </w:p>
    <w:p w14:paraId="503F52D6" w14:textId="748BA288" w:rsidR="00B52583" w:rsidRPr="00BF0C99" w:rsidRDefault="003229FF" w:rsidP="00B52583">
      <w:pPr>
        <w:pStyle w:val="Heading3"/>
        <w:rPr>
          <w:rFonts w:eastAsia="Lato"/>
        </w:rPr>
      </w:pPr>
      <w:r>
        <w:rPr>
          <w:rFonts w:eastAsia="Lato"/>
        </w:rPr>
        <w:t>1.</w:t>
      </w:r>
      <w:r>
        <w:rPr>
          <w:rFonts w:eastAsia="Lato"/>
        </w:rPr>
        <w:tab/>
      </w:r>
      <w:r w:rsidR="00B52583" w:rsidRPr="1F2499AF">
        <w:rPr>
          <w:rFonts w:eastAsia="Lato"/>
        </w:rPr>
        <w:t xml:space="preserve">The student may request a second review of their credential evaluation. This review will be conducted by the original evaluators in collaboration with the </w:t>
      </w:r>
      <w:r>
        <w:rPr>
          <w:rFonts w:eastAsia="Lato"/>
        </w:rPr>
        <w:t>r</w:t>
      </w:r>
      <w:r w:rsidR="00B52583" w:rsidRPr="1F2499AF">
        <w:rPr>
          <w:rFonts w:eastAsia="Lato"/>
        </w:rPr>
        <w:t>egistrar.</w:t>
      </w:r>
    </w:p>
    <w:p w14:paraId="2859CA57" w14:textId="6051C5F9" w:rsidR="00B52583" w:rsidRPr="00BF0C99" w:rsidRDefault="003229FF" w:rsidP="003229FF">
      <w:pPr>
        <w:pStyle w:val="Heading4"/>
        <w:rPr>
          <w:rFonts w:eastAsia="Lato"/>
        </w:rPr>
      </w:pPr>
      <w:r>
        <w:rPr>
          <w:rFonts w:eastAsia="Lato"/>
        </w:rPr>
        <w:t>a.</w:t>
      </w:r>
      <w:r>
        <w:rPr>
          <w:rFonts w:eastAsia="Lato"/>
        </w:rPr>
        <w:tab/>
      </w:r>
      <w:r w:rsidR="00B52583" w:rsidRPr="1F2499AF">
        <w:rPr>
          <w:rFonts w:eastAsia="Lato"/>
        </w:rPr>
        <w:t xml:space="preserve">The request must be submitted in writing within </w:t>
      </w:r>
      <w:r w:rsidR="00B52583" w:rsidRPr="1F2499AF">
        <w:rPr>
          <w:rFonts w:eastAsia="Lato"/>
          <w:b/>
          <w:bCs/>
        </w:rPr>
        <w:t>10 business days</w:t>
      </w:r>
      <w:r w:rsidR="00B52583" w:rsidRPr="1F2499AF">
        <w:rPr>
          <w:rFonts w:eastAsia="Lato"/>
        </w:rPr>
        <w:t xml:space="preserve"> of the initial decision.</w:t>
      </w:r>
    </w:p>
    <w:p w14:paraId="17B422FB" w14:textId="71D1D5B6" w:rsidR="00B52583" w:rsidRPr="00BF0C99" w:rsidRDefault="003229FF" w:rsidP="003229FF">
      <w:pPr>
        <w:pStyle w:val="Heading4"/>
        <w:rPr>
          <w:rFonts w:eastAsia="Lato"/>
        </w:rPr>
      </w:pPr>
      <w:r>
        <w:rPr>
          <w:rFonts w:eastAsia="Lato"/>
        </w:rPr>
        <w:t>b.</w:t>
      </w:r>
      <w:r>
        <w:rPr>
          <w:rFonts w:eastAsia="Lato"/>
        </w:rPr>
        <w:tab/>
      </w:r>
      <w:r w:rsidR="00B52583" w:rsidRPr="1F2499AF">
        <w:rPr>
          <w:rFonts w:eastAsia="Lato"/>
        </w:rPr>
        <w:t>The student should provide any additional documentation or clarification to support their appeal.</w:t>
      </w:r>
    </w:p>
    <w:p w14:paraId="74AEB393" w14:textId="6710E1C0" w:rsidR="00B52583" w:rsidRPr="00BF0C99" w:rsidRDefault="003229FF" w:rsidP="003229FF">
      <w:pPr>
        <w:pStyle w:val="Heading4"/>
        <w:rPr>
          <w:rFonts w:eastAsia="Lato"/>
        </w:rPr>
      </w:pPr>
      <w:r>
        <w:rPr>
          <w:rFonts w:eastAsia="Lato"/>
        </w:rPr>
        <w:t>c.</w:t>
      </w:r>
      <w:r>
        <w:rPr>
          <w:rFonts w:eastAsia="Lato"/>
        </w:rPr>
        <w:tab/>
      </w:r>
      <w:r w:rsidR="00B52583" w:rsidRPr="1F2499AF">
        <w:rPr>
          <w:rFonts w:eastAsia="Lato"/>
        </w:rPr>
        <w:t xml:space="preserve">A written response will be provided within </w:t>
      </w:r>
      <w:r w:rsidR="00B52583" w:rsidRPr="1F2499AF">
        <w:rPr>
          <w:rFonts w:eastAsia="Lato"/>
          <w:b/>
          <w:bCs/>
        </w:rPr>
        <w:t>10 business days</w:t>
      </w:r>
      <w:r w:rsidR="00B52583" w:rsidRPr="1F2499AF">
        <w:rPr>
          <w:rFonts w:eastAsia="Lato"/>
        </w:rPr>
        <w:t xml:space="preserve"> of receiving the request.</w:t>
      </w:r>
    </w:p>
    <w:p w14:paraId="3524C6E4" w14:textId="32817147" w:rsidR="00B52583" w:rsidRPr="00B52583" w:rsidRDefault="00D863E8" w:rsidP="00B52583">
      <w:pPr>
        <w:pStyle w:val="Heading2"/>
      </w:pPr>
      <w:r>
        <w:t>C</w:t>
      </w:r>
      <w:r w:rsidR="00B52583" w:rsidRPr="00B52583">
        <w:t>.</w:t>
      </w:r>
      <w:r w:rsidR="00B52583" w:rsidRPr="00B52583">
        <w:tab/>
        <w:t>FINAL APPEAL</w:t>
      </w:r>
    </w:p>
    <w:p w14:paraId="6D2BF7AD" w14:textId="2C3CE3B5" w:rsidR="00B52583" w:rsidRPr="00BF0C99" w:rsidRDefault="003229FF" w:rsidP="003229FF">
      <w:pPr>
        <w:pStyle w:val="Heading3"/>
        <w:rPr>
          <w:rFonts w:eastAsia="Lato"/>
        </w:rPr>
      </w:pPr>
      <w:r>
        <w:rPr>
          <w:rFonts w:eastAsia="Lato"/>
        </w:rPr>
        <w:lastRenderedPageBreak/>
        <w:t>1.</w:t>
      </w:r>
      <w:r>
        <w:rPr>
          <w:rFonts w:eastAsia="Lato"/>
        </w:rPr>
        <w:tab/>
      </w:r>
      <w:r w:rsidR="00B52583" w:rsidRPr="1F2499AF">
        <w:rPr>
          <w:rFonts w:eastAsia="Lato"/>
        </w:rPr>
        <w:t>If the student remains dissatisfied after the second review</w:t>
      </w:r>
      <w:r w:rsidRPr="003229FF">
        <w:rPr>
          <w:rFonts w:eastAsia="Lato"/>
        </w:rPr>
        <w:t>, they may submit a final appeal to the faculty dean and vice president of instruction, or their designee.</w:t>
      </w:r>
    </w:p>
    <w:p w14:paraId="4AC989A1" w14:textId="1D444A72" w:rsidR="00B52583" w:rsidRPr="003229FF" w:rsidRDefault="003229FF" w:rsidP="003229FF">
      <w:pPr>
        <w:pStyle w:val="Heading4"/>
        <w:rPr>
          <w:rFonts w:eastAsia="Lato" w:cs="Arial"/>
        </w:rPr>
      </w:pPr>
      <w:r>
        <w:rPr>
          <w:rFonts w:eastAsia="Lato"/>
        </w:rPr>
        <w:t>a.</w:t>
      </w:r>
      <w:r>
        <w:rPr>
          <w:rFonts w:eastAsia="Lato"/>
        </w:rPr>
        <w:tab/>
      </w:r>
      <w:r w:rsidR="00B52583" w:rsidRPr="1F2499AF">
        <w:rPr>
          <w:rFonts w:eastAsia="Lato"/>
        </w:rPr>
        <w:t xml:space="preserve">The final appeal must be submitted in writing within </w:t>
      </w:r>
      <w:r w:rsidR="00B52583" w:rsidRPr="003229FF">
        <w:rPr>
          <w:rFonts w:eastAsia="Lato" w:cs="Arial"/>
          <w:b/>
          <w:bCs/>
        </w:rPr>
        <w:t>10 business days</w:t>
      </w:r>
      <w:r w:rsidR="00B52583" w:rsidRPr="003229FF">
        <w:rPr>
          <w:rFonts w:eastAsia="Lato" w:cs="Arial"/>
        </w:rPr>
        <w:t xml:space="preserve"> of receiving the second review decision.</w:t>
      </w:r>
    </w:p>
    <w:p w14:paraId="30B1C0FA" w14:textId="32C214D9" w:rsidR="00B52583" w:rsidRPr="003229FF" w:rsidRDefault="003229FF" w:rsidP="003229FF">
      <w:pPr>
        <w:pStyle w:val="Heading4"/>
        <w:rPr>
          <w:rFonts w:eastAsia="Lato" w:cs="Arial"/>
        </w:rPr>
      </w:pPr>
      <w:r w:rsidRPr="003229FF">
        <w:rPr>
          <w:rFonts w:eastAsia="Lato" w:cs="Arial"/>
        </w:rPr>
        <w:t>b.</w:t>
      </w:r>
      <w:r w:rsidRPr="003229FF">
        <w:rPr>
          <w:rFonts w:eastAsia="Lato" w:cs="Arial"/>
        </w:rPr>
        <w:tab/>
      </w:r>
      <w:r w:rsidR="00B52583" w:rsidRPr="003229FF">
        <w:rPr>
          <w:rFonts w:eastAsia="Lato" w:cs="Arial"/>
        </w:rPr>
        <w:t xml:space="preserve">The </w:t>
      </w:r>
      <w:r>
        <w:rPr>
          <w:rFonts w:eastAsia="Lato" w:cs="Arial"/>
        </w:rPr>
        <w:t>d</w:t>
      </w:r>
      <w:r w:rsidR="00B52583" w:rsidRPr="003229FF">
        <w:rPr>
          <w:rFonts w:eastAsia="Lato" w:cs="Arial"/>
        </w:rPr>
        <w:t>ean</w:t>
      </w:r>
      <w:r>
        <w:rPr>
          <w:rFonts w:eastAsia="Lato" w:cs="Arial"/>
        </w:rPr>
        <w:t xml:space="preserve">, vice president of instruction </w:t>
      </w:r>
      <w:r w:rsidR="00B52583" w:rsidRPr="003229FF">
        <w:rPr>
          <w:rFonts w:eastAsia="Lato" w:cs="Arial"/>
        </w:rPr>
        <w:t>or designee will review the full record and may consult with relevant staff as needed.</w:t>
      </w:r>
    </w:p>
    <w:p w14:paraId="2E450858" w14:textId="70CF6671" w:rsidR="00B52583" w:rsidRPr="003229FF" w:rsidRDefault="003229FF" w:rsidP="003229FF">
      <w:pPr>
        <w:pStyle w:val="Heading4"/>
        <w:rPr>
          <w:rFonts w:eastAsia="Lato" w:cs="Arial"/>
        </w:rPr>
      </w:pPr>
      <w:r w:rsidRPr="003229FF">
        <w:rPr>
          <w:rFonts w:eastAsia="Lato" w:cs="Arial"/>
        </w:rPr>
        <w:t>c.</w:t>
      </w:r>
      <w:r w:rsidRPr="003229FF">
        <w:rPr>
          <w:rFonts w:eastAsia="Lato" w:cs="Arial"/>
        </w:rPr>
        <w:tab/>
      </w:r>
      <w:r w:rsidR="00B52583" w:rsidRPr="003229FF">
        <w:rPr>
          <w:rFonts w:eastAsia="Lato" w:cs="Arial"/>
        </w:rPr>
        <w:t xml:space="preserve">A final decision will be issued in writing within </w:t>
      </w:r>
      <w:r w:rsidR="00B52583" w:rsidRPr="003229FF">
        <w:rPr>
          <w:rFonts w:eastAsia="Lato" w:cs="Arial"/>
          <w:b/>
          <w:bCs/>
        </w:rPr>
        <w:t>15 business days</w:t>
      </w:r>
      <w:r w:rsidR="00B52583" w:rsidRPr="003229FF">
        <w:rPr>
          <w:rFonts w:eastAsia="Lato" w:cs="Arial"/>
        </w:rPr>
        <w:t xml:space="preserve"> of receipt of the appeal.</w:t>
      </w:r>
    </w:p>
    <w:p w14:paraId="295DE36C" w14:textId="4E22CB01" w:rsidR="00B52583" w:rsidRPr="003229FF" w:rsidRDefault="003229FF" w:rsidP="003229FF">
      <w:pPr>
        <w:pStyle w:val="Heading4"/>
        <w:rPr>
          <w:rFonts w:eastAsia="Lato" w:cs="Arial"/>
        </w:rPr>
      </w:pPr>
      <w:r w:rsidRPr="003229FF">
        <w:rPr>
          <w:rFonts w:eastAsia="Lato" w:cs="Arial"/>
        </w:rPr>
        <w:t>d.</w:t>
      </w:r>
      <w:r w:rsidRPr="003229FF">
        <w:rPr>
          <w:rFonts w:eastAsia="Lato" w:cs="Arial"/>
        </w:rPr>
        <w:tab/>
      </w:r>
      <w:r w:rsidR="00B52583" w:rsidRPr="003229FF">
        <w:rPr>
          <w:rFonts w:eastAsia="Lato" w:cs="Arial"/>
        </w:rPr>
        <w:t xml:space="preserve">The decision of the </w:t>
      </w:r>
      <w:r>
        <w:rPr>
          <w:rFonts w:eastAsia="Lato" w:cs="Arial"/>
        </w:rPr>
        <w:t>d</w:t>
      </w:r>
      <w:r w:rsidR="00D863E8">
        <w:rPr>
          <w:rFonts w:eastAsia="Lato" w:cs="Arial"/>
        </w:rPr>
        <w:t>e</w:t>
      </w:r>
      <w:r>
        <w:rPr>
          <w:rFonts w:eastAsia="Lato" w:cs="Arial"/>
        </w:rPr>
        <w:t xml:space="preserve">an, vice president of instruction </w:t>
      </w:r>
      <w:r w:rsidR="00B52583" w:rsidRPr="003229FF">
        <w:rPr>
          <w:rFonts w:eastAsia="Lato" w:cs="Arial"/>
        </w:rPr>
        <w:t>or designee is final and not subject to further appeal.</w:t>
      </w:r>
    </w:p>
    <w:p w14:paraId="6C8D666F" w14:textId="77777777" w:rsidR="00B1187A" w:rsidRDefault="00B1187A" w:rsidP="00B1187A">
      <w:pPr>
        <w:pStyle w:val="BodyTextItalicBOT"/>
      </w:pPr>
      <w:r>
        <w:t>Approved by the president’s cabinet: 11/4/25</w:t>
      </w:r>
    </w:p>
    <w:p w14:paraId="13106A8E" w14:textId="2DBD2CE5" w:rsidR="00B1187A" w:rsidRDefault="00B1187A" w:rsidP="00B1187A">
      <w:pPr>
        <w:pStyle w:val="BodyTextItalicBOT"/>
      </w:pPr>
      <w:r>
        <w:t xml:space="preserve">Last reviewed: </w:t>
      </w:r>
      <w:r>
        <w:t>11/4/25</w:t>
      </w:r>
    </w:p>
    <w:p w14:paraId="77D48F91" w14:textId="77777777" w:rsidR="00B1187A" w:rsidRDefault="00B1187A" w:rsidP="00B1187A">
      <w:pPr>
        <w:pStyle w:val="BodyTextPolicyContact"/>
      </w:pPr>
      <w:r>
        <w:t>Policy contact: Student Services</w:t>
      </w:r>
    </w:p>
    <w:p w14:paraId="3094A08B" w14:textId="77777777" w:rsidR="00B1187A" w:rsidRDefault="00B1187A" w:rsidP="00B1187A">
      <w:pPr>
        <w:pStyle w:val="RelatedPP"/>
      </w:pPr>
      <w:r>
        <w:t>Related policies and procedures</w:t>
      </w:r>
    </w:p>
    <w:p w14:paraId="20B8D7A0" w14:textId="77EF05C8" w:rsidR="00B52583" w:rsidRDefault="00B52583" w:rsidP="00B1187A">
      <w:pPr>
        <w:pStyle w:val="000000RelatedPolicies"/>
      </w:pPr>
      <w:r>
        <w:tab/>
        <w:t>300.3</w:t>
      </w:r>
      <w:r w:rsidR="00D863E8">
        <w:t>85</w:t>
      </w:r>
      <w:r>
        <w:tab/>
      </w:r>
      <w:hyperlink r:id="rId12" w:history="1">
        <w:r w:rsidRPr="0060347E">
          <w:rPr>
            <w:rStyle w:val="Hyperlink"/>
            <w:rFonts w:eastAsia="Lato"/>
          </w:rPr>
          <w:t>Academic Credit Prior Learning</w:t>
        </w:r>
        <w:r w:rsidRPr="0060347E">
          <w:rPr>
            <w:rStyle w:val="Hyperlink"/>
            <w:rFonts w:eastAsia="Lato"/>
          </w:rPr>
          <w:t xml:space="preserve"> Policy</w:t>
        </w:r>
      </w:hyperlink>
    </w:p>
    <w:p w14:paraId="59F03E8D" w14:textId="01CAC279" w:rsidR="001004ED" w:rsidRDefault="00B1187A" w:rsidP="00B1187A">
      <w:pPr>
        <w:pStyle w:val="000000RelatedPolicies"/>
      </w:pPr>
      <w:r>
        <w:tab/>
      </w:r>
      <w:r>
        <w:t>400.180</w:t>
      </w:r>
      <w:r>
        <w:tab/>
      </w:r>
      <w:hyperlink r:id="rId13" w:history="1">
        <w:r w:rsidRPr="0060347E">
          <w:rPr>
            <w:rStyle w:val="Hyperlink"/>
          </w:rPr>
          <w:t>Transfer Credit P</w:t>
        </w:r>
        <w:r w:rsidRPr="0060347E">
          <w:rPr>
            <w:rStyle w:val="Hyperlink"/>
          </w:rPr>
          <w:t>olicy</w:t>
        </w:r>
      </w:hyperlink>
    </w:p>
    <w:p w14:paraId="65383CC5" w14:textId="3373499B" w:rsidR="00B52583" w:rsidRPr="00B1187A" w:rsidRDefault="00B52583" w:rsidP="00B1187A">
      <w:pPr>
        <w:pStyle w:val="000000RelatedPolicies"/>
      </w:pPr>
      <w:r>
        <w:tab/>
        <w:t>1300.3</w:t>
      </w:r>
      <w:r w:rsidR="00D863E8">
        <w:t>85</w:t>
      </w:r>
      <w:r>
        <w:tab/>
      </w:r>
      <w:hyperlink r:id="rId14" w:history="1">
        <w:r w:rsidRPr="0060347E">
          <w:rPr>
            <w:rStyle w:val="Hyperlink"/>
            <w:rFonts w:eastAsia="Lato"/>
          </w:rPr>
          <w:t>Academic Credit Prior Learning</w:t>
        </w:r>
        <w:r w:rsidRPr="0060347E">
          <w:rPr>
            <w:rStyle w:val="Hyperlink"/>
            <w:rFonts w:eastAsia="Lato"/>
          </w:rPr>
          <w:t xml:space="preserve"> Procedure</w:t>
        </w:r>
      </w:hyperlink>
    </w:p>
    <w:sectPr w:rsidR="00B52583" w:rsidRPr="00B1187A" w:rsidSect="008C7A5C">
      <w:headerReference w:type="default" r:id="rId1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C47E" w14:textId="77777777" w:rsidR="00AD2539" w:rsidRDefault="00AD2539">
      <w:r>
        <w:separator/>
      </w:r>
    </w:p>
  </w:endnote>
  <w:endnote w:type="continuationSeparator" w:id="0">
    <w:p w14:paraId="1EF1C0CE" w14:textId="77777777" w:rsidR="00AD2539" w:rsidRDefault="00AD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B4B1" w14:textId="77777777" w:rsidR="00AD2539" w:rsidRDefault="00AD2539">
      <w:r>
        <w:separator/>
      </w:r>
    </w:p>
  </w:footnote>
  <w:footnote w:type="continuationSeparator" w:id="0">
    <w:p w14:paraId="1AB370E7" w14:textId="77777777" w:rsidR="00AD2539" w:rsidRDefault="00AD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8896" w14:textId="77777777" w:rsidR="00476C59" w:rsidRDefault="00476C59">
    <w:pPr>
      <w:tabs>
        <w:tab w:val="right" w:pos="9360"/>
      </w:tabs>
      <w:rPr>
        <w:rFonts w:eastAsia="MS Mincho"/>
      </w:rPr>
    </w:pPr>
    <w:r>
      <w:rPr>
        <w:rFonts w:eastAsia="MS Mincho"/>
      </w:rPr>
      <w:t>Wenatchee Valley College</w:t>
    </w:r>
    <w:r>
      <w:rPr>
        <w:rFonts w:eastAsia="MS Mincho"/>
      </w:rPr>
      <w:tab/>
      <w:t>1</w:t>
    </w:r>
    <w:r w:rsidR="00595AFD">
      <w:rPr>
        <w:rFonts w:eastAsia="MS Mincho"/>
      </w:rPr>
      <w:t>4</w:t>
    </w:r>
    <w:r>
      <w:rPr>
        <w:rFonts w:eastAsia="MS Mincho"/>
      </w:rPr>
      <w:t xml:space="preserve">00.000 </w:t>
    </w:r>
    <w:r w:rsidR="00595AFD">
      <w:rPr>
        <w:rFonts w:eastAsia="MS Mincho"/>
      </w:rPr>
      <w:t xml:space="preserve">STUDENT </w:t>
    </w:r>
    <w:r w:rsidR="002426B2">
      <w:rPr>
        <w:rFonts w:eastAsia="MS Mincho"/>
      </w:rPr>
      <w:t>SERVICES</w:t>
    </w:r>
  </w:p>
  <w:p w14:paraId="3712CB65" w14:textId="77777777" w:rsidR="00476C59" w:rsidRDefault="00476C59">
    <w:r>
      <w:rPr>
        <w:rFonts w:eastAsia="MS Mincho"/>
      </w:rPr>
      <w:t>COLLEGE OPERATIONAL PROCEDURE</w:t>
    </w:r>
  </w:p>
  <w:p w14:paraId="6711A08E"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0AF043C8"/>
    <w:multiLevelType w:val="hybridMultilevel"/>
    <w:tmpl w:val="2D0EE418"/>
    <w:lvl w:ilvl="0" w:tplc="052A6408">
      <w:start w:val="1"/>
      <w:numFmt w:val="bullet"/>
      <w:lvlText w:val=""/>
      <w:lvlJc w:val="left"/>
      <w:pPr>
        <w:tabs>
          <w:tab w:val="num" w:pos="720"/>
        </w:tabs>
        <w:ind w:left="720" w:hanging="360"/>
      </w:pPr>
      <w:rPr>
        <w:rFonts w:ascii="Symbol" w:hAnsi="Symbol" w:hint="default"/>
      </w:rPr>
    </w:lvl>
    <w:lvl w:ilvl="1" w:tplc="11D0DBA8">
      <w:start w:val="1"/>
      <w:numFmt w:val="bullet"/>
      <w:lvlText w:val=""/>
      <w:lvlJc w:val="left"/>
      <w:pPr>
        <w:tabs>
          <w:tab w:val="num" w:pos="1440"/>
        </w:tabs>
        <w:ind w:left="1440" w:hanging="360"/>
      </w:pPr>
      <w:rPr>
        <w:rFonts w:ascii="Symbol" w:hAnsi="Symbol" w:hint="default"/>
        <w:sz w:val="20"/>
      </w:rPr>
    </w:lvl>
    <w:lvl w:ilvl="2" w:tplc="5ECC5682" w:tentative="1">
      <w:start w:val="1"/>
      <w:numFmt w:val="decimal"/>
      <w:lvlText w:val="%3."/>
      <w:lvlJc w:val="left"/>
      <w:pPr>
        <w:tabs>
          <w:tab w:val="num" w:pos="2160"/>
        </w:tabs>
        <w:ind w:left="2160" w:hanging="360"/>
      </w:pPr>
    </w:lvl>
    <w:lvl w:ilvl="3" w:tplc="0DDE518A" w:tentative="1">
      <w:start w:val="1"/>
      <w:numFmt w:val="decimal"/>
      <w:lvlText w:val="%4."/>
      <w:lvlJc w:val="left"/>
      <w:pPr>
        <w:tabs>
          <w:tab w:val="num" w:pos="2880"/>
        </w:tabs>
        <w:ind w:left="2880" w:hanging="360"/>
      </w:pPr>
    </w:lvl>
    <w:lvl w:ilvl="4" w:tplc="A99A2DFE" w:tentative="1">
      <w:start w:val="1"/>
      <w:numFmt w:val="decimal"/>
      <w:lvlText w:val="%5."/>
      <w:lvlJc w:val="left"/>
      <w:pPr>
        <w:tabs>
          <w:tab w:val="num" w:pos="3600"/>
        </w:tabs>
        <w:ind w:left="3600" w:hanging="360"/>
      </w:pPr>
    </w:lvl>
    <w:lvl w:ilvl="5" w:tplc="E458A2AA" w:tentative="1">
      <w:start w:val="1"/>
      <w:numFmt w:val="decimal"/>
      <w:lvlText w:val="%6."/>
      <w:lvlJc w:val="left"/>
      <w:pPr>
        <w:tabs>
          <w:tab w:val="num" w:pos="4320"/>
        </w:tabs>
        <w:ind w:left="4320" w:hanging="360"/>
      </w:pPr>
    </w:lvl>
    <w:lvl w:ilvl="6" w:tplc="C718822C" w:tentative="1">
      <w:start w:val="1"/>
      <w:numFmt w:val="decimal"/>
      <w:lvlText w:val="%7."/>
      <w:lvlJc w:val="left"/>
      <w:pPr>
        <w:tabs>
          <w:tab w:val="num" w:pos="5040"/>
        </w:tabs>
        <w:ind w:left="5040" w:hanging="360"/>
      </w:pPr>
    </w:lvl>
    <w:lvl w:ilvl="7" w:tplc="61628B00" w:tentative="1">
      <w:start w:val="1"/>
      <w:numFmt w:val="decimal"/>
      <w:lvlText w:val="%8."/>
      <w:lvlJc w:val="left"/>
      <w:pPr>
        <w:tabs>
          <w:tab w:val="num" w:pos="5760"/>
        </w:tabs>
        <w:ind w:left="5760" w:hanging="360"/>
      </w:pPr>
    </w:lvl>
    <w:lvl w:ilvl="8" w:tplc="0C9284FE" w:tentative="1">
      <w:start w:val="1"/>
      <w:numFmt w:val="decimal"/>
      <w:lvlText w:val="%9."/>
      <w:lvlJc w:val="left"/>
      <w:pPr>
        <w:tabs>
          <w:tab w:val="num" w:pos="6480"/>
        </w:tabs>
        <w:ind w:left="6480" w:hanging="360"/>
      </w:p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F0E791"/>
    <w:multiLevelType w:val="hybridMultilevel"/>
    <w:tmpl w:val="FFFFFFFF"/>
    <w:lvl w:ilvl="0" w:tplc="F222B57E">
      <w:start w:val="1"/>
      <w:numFmt w:val="bullet"/>
      <w:lvlText w:val=""/>
      <w:lvlJc w:val="left"/>
      <w:pPr>
        <w:ind w:left="720" w:hanging="360"/>
      </w:pPr>
      <w:rPr>
        <w:rFonts w:ascii="Symbol" w:hAnsi="Symbol" w:hint="default"/>
      </w:rPr>
    </w:lvl>
    <w:lvl w:ilvl="1" w:tplc="34F2968C">
      <w:start w:val="1"/>
      <w:numFmt w:val="bullet"/>
      <w:lvlText w:val="o"/>
      <w:lvlJc w:val="left"/>
      <w:pPr>
        <w:ind w:left="1440" w:hanging="360"/>
      </w:pPr>
      <w:rPr>
        <w:rFonts w:ascii="Courier New" w:hAnsi="Courier New" w:hint="default"/>
      </w:rPr>
    </w:lvl>
    <w:lvl w:ilvl="2" w:tplc="E7727CB6">
      <w:start w:val="1"/>
      <w:numFmt w:val="bullet"/>
      <w:lvlText w:val=""/>
      <w:lvlJc w:val="left"/>
      <w:pPr>
        <w:ind w:left="2160" w:hanging="360"/>
      </w:pPr>
      <w:rPr>
        <w:rFonts w:ascii="Wingdings" w:hAnsi="Wingdings" w:hint="default"/>
      </w:rPr>
    </w:lvl>
    <w:lvl w:ilvl="3" w:tplc="DBA608A6">
      <w:start w:val="1"/>
      <w:numFmt w:val="bullet"/>
      <w:lvlText w:val=""/>
      <w:lvlJc w:val="left"/>
      <w:pPr>
        <w:ind w:left="2880" w:hanging="360"/>
      </w:pPr>
      <w:rPr>
        <w:rFonts w:ascii="Symbol" w:hAnsi="Symbol" w:hint="default"/>
      </w:rPr>
    </w:lvl>
    <w:lvl w:ilvl="4" w:tplc="494EA3D2">
      <w:start w:val="1"/>
      <w:numFmt w:val="bullet"/>
      <w:lvlText w:val="o"/>
      <w:lvlJc w:val="left"/>
      <w:pPr>
        <w:ind w:left="3600" w:hanging="360"/>
      </w:pPr>
      <w:rPr>
        <w:rFonts w:ascii="Courier New" w:hAnsi="Courier New" w:hint="default"/>
      </w:rPr>
    </w:lvl>
    <w:lvl w:ilvl="5" w:tplc="438CB6DE">
      <w:start w:val="1"/>
      <w:numFmt w:val="bullet"/>
      <w:lvlText w:val=""/>
      <w:lvlJc w:val="left"/>
      <w:pPr>
        <w:ind w:left="4320" w:hanging="360"/>
      </w:pPr>
      <w:rPr>
        <w:rFonts w:ascii="Wingdings" w:hAnsi="Wingdings" w:hint="default"/>
      </w:rPr>
    </w:lvl>
    <w:lvl w:ilvl="6" w:tplc="146CC2A4">
      <w:start w:val="1"/>
      <w:numFmt w:val="bullet"/>
      <w:lvlText w:val=""/>
      <w:lvlJc w:val="left"/>
      <w:pPr>
        <w:ind w:left="5040" w:hanging="360"/>
      </w:pPr>
      <w:rPr>
        <w:rFonts w:ascii="Symbol" w:hAnsi="Symbol" w:hint="default"/>
      </w:rPr>
    </w:lvl>
    <w:lvl w:ilvl="7" w:tplc="9348D65C">
      <w:start w:val="1"/>
      <w:numFmt w:val="bullet"/>
      <w:lvlText w:val="o"/>
      <w:lvlJc w:val="left"/>
      <w:pPr>
        <w:ind w:left="5760" w:hanging="360"/>
      </w:pPr>
      <w:rPr>
        <w:rFonts w:ascii="Courier New" w:hAnsi="Courier New" w:hint="default"/>
      </w:rPr>
    </w:lvl>
    <w:lvl w:ilvl="8" w:tplc="195EB136">
      <w:start w:val="1"/>
      <w:numFmt w:val="bullet"/>
      <w:lvlText w:val=""/>
      <w:lvlJc w:val="left"/>
      <w:pPr>
        <w:ind w:left="648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162514">
    <w:abstractNumId w:val="11"/>
  </w:num>
  <w:num w:numId="2" w16cid:durableId="519470043">
    <w:abstractNumId w:val="12"/>
  </w:num>
  <w:num w:numId="3" w16cid:durableId="2021010494">
    <w:abstractNumId w:val="29"/>
  </w:num>
  <w:num w:numId="4" w16cid:durableId="1330017697">
    <w:abstractNumId w:val="30"/>
  </w:num>
  <w:num w:numId="5" w16cid:durableId="725951903">
    <w:abstractNumId w:val="27"/>
  </w:num>
  <w:num w:numId="6" w16cid:durableId="401417414">
    <w:abstractNumId w:val="3"/>
  </w:num>
  <w:num w:numId="7" w16cid:durableId="956957923">
    <w:abstractNumId w:val="10"/>
  </w:num>
  <w:num w:numId="8" w16cid:durableId="1994599310">
    <w:abstractNumId w:val="28"/>
  </w:num>
  <w:num w:numId="9" w16cid:durableId="1786265639">
    <w:abstractNumId w:val="23"/>
  </w:num>
  <w:num w:numId="10" w16cid:durableId="85152220">
    <w:abstractNumId w:val="7"/>
  </w:num>
  <w:num w:numId="11" w16cid:durableId="1408456579">
    <w:abstractNumId w:val="21"/>
  </w:num>
  <w:num w:numId="12" w16cid:durableId="1509177638">
    <w:abstractNumId w:val="32"/>
  </w:num>
  <w:num w:numId="13" w16cid:durableId="792136009">
    <w:abstractNumId w:val="0"/>
  </w:num>
  <w:num w:numId="14" w16cid:durableId="1848789868">
    <w:abstractNumId w:val="13"/>
  </w:num>
  <w:num w:numId="15" w16cid:durableId="195705539">
    <w:abstractNumId w:val="19"/>
  </w:num>
  <w:num w:numId="16" w16cid:durableId="656105641">
    <w:abstractNumId w:val="15"/>
  </w:num>
  <w:num w:numId="17" w16cid:durableId="1765682206">
    <w:abstractNumId w:val="2"/>
  </w:num>
  <w:num w:numId="18" w16cid:durableId="810291373">
    <w:abstractNumId w:val="34"/>
  </w:num>
  <w:num w:numId="19" w16cid:durableId="184288883">
    <w:abstractNumId w:val="8"/>
  </w:num>
  <w:num w:numId="20" w16cid:durableId="1557549198">
    <w:abstractNumId w:val="31"/>
  </w:num>
  <w:num w:numId="21" w16cid:durableId="777723550">
    <w:abstractNumId w:val="25"/>
  </w:num>
  <w:num w:numId="22" w16cid:durableId="1067460131">
    <w:abstractNumId w:val="39"/>
  </w:num>
  <w:num w:numId="23" w16cid:durableId="959343565">
    <w:abstractNumId w:val="18"/>
  </w:num>
  <w:num w:numId="24" w16cid:durableId="1948854752">
    <w:abstractNumId w:val="22"/>
  </w:num>
  <w:num w:numId="25" w16cid:durableId="1757939473">
    <w:abstractNumId w:val="38"/>
  </w:num>
  <w:num w:numId="26" w16cid:durableId="1539392788">
    <w:abstractNumId w:val="40"/>
  </w:num>
  <w:num w:numId="27" w16cid:durableId="1030495122">
    <w:abstractNumId w:val="24"/>
  </w:num>
  <w:num w:numId="28" w16cid:durableId="913009050">
    <w:abstractNumId w:val="37"/>
  </w:num>
  <w:num w:numId="29" w16cid:durableId="1629773428">
    <w:abstractNumId w:val="36"/>
  </w:num>
  <w:num w:numId="30" w16cid:durableId="2100788653">
    <w:abstractNumId w:val="35"/>
  </w:num>
  <w:num w:numId="31" w16cid:durableId="9184993">
    <w:abstractNumId w:val="9"/>
  </w:num>
  <w:num w:numId="32" w16cid:durableId="149056366">
    <w:abstractNumId w:val="33"/>
  </w:num>
  <w:num w:numId="33" w16cid:durableId="1900938237">
    <w:abstractNumId w:val="5"/>
  </w:num>
  <w:num w:numId="34" w16cid:durableId="1001080081">
    <w:abstractNumId w:val="17"/>
  </w:num>
  <w:num w:numId="35" w16cid:durableId="140275662">
    <w:abstractNumId w:val="16"/>
  </w:num>
  <w:num w:numId="36" w16cid:durableId="324284475">
    <w:abstractNumId w:val="6"/>
  </w:num>
  <w:num w:numId="37" w16cid:durableId="166673123">
    <w:abstractNumId w:val="1"/>
  </w:num>
  <w:num w:numId="38" w16cid:durableId="1609043457">
    <w:abstractNumId w:val="26"/>
  </w:num>
  <w:num w:numId="39" w16cid:durableId="1705208342">
    <w:abstractNumId w:val="20"/>
  </w:num>
  <w:num w:numId="40" w16cid:durableId="169369550">
    <w:abstractNumId w:val="14"/>
  </w:num>
  <w:num w:numId="41" w16cid:durableId="204131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2531"/>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04ED"/>
    <w:rsid w:val="00114ADF"/>
    <w:rsid w:val="00130843"/>
    <w:rsid w:val="001333F9"/>
    <w:rsid w:val="00137102"/>
    <w:rsid w:val="00153833"/>
    <w:rsid w:val="00172556"/>
    <w:rsid w:val="00174C7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33904"/>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29FF"/>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0347E"/>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539"/>
    <w:rsid w:val="00AD2766"/>
    <w:rsid w:val="00AD593E"/>
    <w:rsid w:val="00AE1088"/>
    <w:rsid w:val="00AE6B7F"/>
    <w:rsid w:val="00AE6D69"/>
    <w:rsid w:val="00AF4F42"/>
    <w:rsid w:val="00AF6C4E"/>
    <w:rsid w:val="00B008D9"/>
    <w:rsid w:val="00B028D4"/>
    <w:rsid w:val="00B04FC5"/>
    <w:rsid w:val="00B05D4D"/>
    <w:rsid w:val="00B063B0"/>
    <w:rsid w:val="00B07CF9"/>
    <w:rsid w:val="00B1187A"/>
    <w:rsid w:val="00B13F37"/>
    <w:rsid w:val="00B147EE"/>
    <w:rsid w:val="00B21A06"/>
    <w:rsid w:val="00B33EA6"/>
    <w:rsid w:val="00B3423E"/>
    <w:rsid w:val="00B3586C"/>
    <w:rsid w:val="00B52583"/>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371"/>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863E8"/>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43E5"/>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60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180-transfer-credi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300-instruction/300.385-academic-credit-for-prior-learning-at-wvc.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criptEvals@wvc.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300-instruction/300.385-academic-credit-for-prior-learning-at-wv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EDB3659F-2845-4881-9A9B-8491E0D2C5B7}">
  <ds:schemaRefs>
    <ds:schemaRef ds:uri="http://schemas.openxmlformats.org/officeDocument/2006/bibliography"/>
  </ds:schemaRefs>
</ds:datastoreItem>
</file>

<file path=customXml/itemProps3.xml><?xml version="1.0" encoding="utf-8"?>
<ds:datastoreItem xmlns:ds="http://schemas.openxmlformats.org/officeDocument/2006/customXml" ds:itemID="{CEB9FF84-3D37-4B85-AA18-3B176F00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2042-9D59-4973-99D8-5EE3B17F5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4364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2026-03-01T18:21:00Z</dcterms:created>
  <dcterms:modified xsi:type="dcterms:W3CDTF">2026-03-01T19:03:00Z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6889000</vt:r8>
  </property>
  <property fmtid="{D5CDD505-2E9C-101B-9397-08002B2CF9AE}" pid="4" name="MediaServiceImageTags">
    <vt:lpwstr/>
  </property>
</Properties>
</file>